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A58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44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kern w:val="44"/>
          <w:sz w:val="32"/>
          <w:szCs w:val="32"/>
          <w:shd w:val="clear" w:fill="FFFFFF"/>
          <w:lang w:val="en-US" w:eastAsia="zh-CN" w:bidi="ar"/>
        </w:rPr>
        <w:t>案例一</w:t>
      </w:r>
    </w:p>
    <w:p w14:paraId="4944833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443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44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-SA"/>
        </w:rPr>
        <w:t>违反中央八项规定精神典型案例（六）</w:t>
      </w:r>
    </w:p>
    <w:p w14:paraId="71DDA0F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562FEA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"/>
        </w:rPr>
        <w:t>以虚列事由套取费用等方式违规吃喝</w:t>
      </w:r>
    </w:p>
    <w:p w14:paraId="63B4772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"/>
        </w:rPr>
        <w:t>案例：</w:t>
      </w: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某镇应急管理所所长张某，为套取违规吃喝费用，虚假策划了一场针对辖区内企业负责人的"安全生产培训"。他安排下属王某编造培训计划、课程内容，要求突出"专业性"，同时虚构学员名单，涵盖了辖区内多家企业的负责人。事实上，张某带着所里的工作人员来到一家高档餐厅大吃大喝，总共花费3000多元。之后，张某让王某准备假培训资料，虚构培训成果报告，将费用伪装成培训期间的各项开支，在单位财务报销。</w:t>
      </w:r>
    </w:p>
    <w:p w14:paraId="0746A0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"/>
        </w:rPr>
        <w:t>剖析：</w:t>
      </w: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以虚列事由套取费用等方式违规吃喝，是当前"四风"隐形变异的一种新形式、新变种。案例中的张某、王某及其他人员纪法意识淡薄，受享乐主义、奢靡之风驱使，将公权力作为满足私欲的工具，以虚假培训方式套取公款用于吃喝，妄图采取隐蔽手段蒙混过关。最终，难逃纪律的惩处。这些行为不仅浪费公共财产，损害党和政府公信力，还可能引发他人跟风效仿，加剧不正之风蔓延，必须予以严肃纠治。</w:t>
      </w:r>
    </w:p>
    <w:p w14:paraId="2EC2ED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出现上述行为通常情况是由于单位内部监管机制存在漏洞，财务审核把关不严，对虚假资料缺乏有效核实审查，相关制度执行不力，缺乏有效监督。从实践看，以套取费用、虚列费用等方式吃喝花样百出，比如以办公费、宣传费、会议费、培训费、印刷费、劳务费、招待费等虚假名义，通过虚开发票等方式，套取公款报销餐费。有的将吃喝的大额费用拆分为小额发票报销，或者通过收入不入账、账外有账，建立"小金库"用于违规吃喝。还有的通过项目资金等专项工作经费支付吃喝费用。但无论隐藏多深、变异多巧，都难逃越织越密、越来越精准的执纪之网。</w:t>
      </w:r>
    </w:p>
    <w:p w14:paraId="0B8B95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违规吃喝问题绝非小事小节，关系党和政府在人民群众心中的形象。各级纪检监察机关要坚持零容忍态度，对套取费用、虚列费用等隐形变异的违规吃喝问题，发现一起、查处一起，使违规违纪者付出应有代价。广大党员干部和公职人员也必须时刻警醒，不得触碰"红线"。</w:t>
      </w:r>
    </w:p>
    <w:p w14:paraId="193A7F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除了严厉的事后处理措施外，还需要从制度层面加强对权力的规范和约束，加强预算、审计及日常审批管理等环节的事前预防和事中监督，推动政务公开，确保财务预算及报销制度在严密监督下运行，全面堵塞管理漏洞。</w:t>
      </w:r>
    </w:p>
    <w:p w14:paraId="4A43D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sz w:val="32"/>
          <w:szCs w:val="32"/>
        </w:rPr>
      </w:pPr>
    </w:p>
    <w:p w14:paraId="7306D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sz w:val="32"/>
          <w:szCs w:val="32"/>
        </w:rPr>
      </w:pPr>
    </w:p>
    <w:p w14:paraId="45BA08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6F8F5D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1EB510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49EB04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1B83BE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0F12E0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7E546F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4C53C2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6D7CD5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</w:p>
    <w:p w14:paraId="128A32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案例二</w:t>
      </w:r>
    </w:p>
    <w:p w14:paraId="3944DE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大国工匠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张洪宾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 xml:space="preserve">头发丝直径十六分之一 </w:t>
      </w:r>
    </w:p>
    <w:p w14:paraId="2877C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他在毫厘间精准打磨动车零件</w:t>
      </w:r>
    </w:p>
    <w:p w14:paraId="0F7D70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0C0BAA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全球最快高铁CR450动车组样车正进行型式试验，其制动系统面临极限挑战：需在112秒内将时速400公里的列车刹停，制动距离仅6500米。张洪宾作为铁科纵横（天津）高级技师，带领团队攻克了制动盘盘毂和楔形销两大核心部件的精密制造难题。</w:t>
      </w:r>
    </w:p>
    <w:p w14:paraId="3F08B64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盘毂作为制动系统的"力量担当"，需耐受700℃高温且精度达0.005毫米。2012年"复兴号"研发时，张洪宾突破常规工艺，放弃进口磨床方案，大胆采用高精度车削技术。历经3个月攻关，通过7种刀具试验、9种走刀路径优化，创新实现车床加工盘毂，效率更比国外工艺提升一倍。</w:t>
      </w:r>
    </w:p>
    <w:p w14:paraId="77830E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在CR450研发中，张洪宾再遇“楔形销”难题。这个5厘米高的"安全锁扣"加工时易出现让刀现象。他通过创新弧面数控加工技术，优化异形刀具参数，精准控制切削深度和转速，最终实现楔形销与制动夹钳的完美配合。</w:t>
      </w:r>
    </w:p>
    <w:p w14:paraId="3D76AE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从复兴号CR400到CR450，中国高铁完成从追赶到领跑的跨越。张洪宾团队将零部件加工精度持续推向新高度，其研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发的制动系统已装车试验，支撑中国高铁向时速400公里迈进。</w:t>
      </w:r>
    </w:p>
    <w:p w14:paraId="4E4C00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6229BA8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65F590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96A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05C6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05C6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A2581"/>
    <w:rsid w:val="1965262D"/>
    <w:rsid w:val="226C3F89"/>
    <w:rsid w:val="28941748"/>
    <w:rsid w:val="445175A7"/>
    <w:rsid w:val="47CB3E82"/>
    <w:rsid w:val="48B22473"/>
    <w:rsid w:val="4D64660C"/>
    <w:rsid w:val="614E310A"/>
    <w:rsid w:val="6BBD0EFB"/>
    <w:rsid w:val="779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1033</Characters>
  <Lines>0</Lines>
  <Paragraphs>0</Paragraphs>
  <TotalTime>1</TotalTime>
  <ScaleCrop>false</ScaleCrop>
  <LinksUpToDate>false</LinksUpToDate>
  <CharactersWithSpaces>1040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2025-04-26T01:45:00Z</dcterms:created>
  <dc:creator>Administrator</dc:creator>
  <cp:lastModifiedBy>刘静</cp:lastModifiedBy>
  <dcterms:modified xsi:type="dcterms:W3CDTF">2025-05-19T08:25:23Z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eyJoZGlkIjoiMGZlZjU3MjdjOWY2Y2ZmNTEyMTNlNWZiY2ViYjhhOWMiLCJ1c2VySWQiOiIxNjY1OTQ1NjczIn0=</vt:lpwstr>
  </property>
  <property fmtid="{D5CDD505-2E9C-101B-9397-08002B2CF9AE}" pid="4" name="ICV">
    <vt:lpwstr>5CCC354902974156B80DEBAA55A39629_12</vt:lpwstr>
  </property>
</Properties>
</file>